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9097" w14:textId="3B5A97EC" w:rsidR="00A53FFF" w:rsidRPr="00B16E8A" w:rsidRDefault="00A53FFF" w:rsidP="00A53FFF">
      <w:pPr>
        <w:autoSpaceDE w:val="0"/>
        <w:autoSpaceDN w:val="0"/>
        <w:adjustRightInd w:val="0"/>
        <w:spacing w:after="0" w:line="240" w:lineRule="auto"/>
        <w:jc w:val="both"/>
        <w:rPr>
          <w:rFonts w:ascii="Arial" w:hAnsi="Arial" w:cs="Arial"/>
          <w:sz w:val="20"/>
          <w:szCs w:val="24"/>
          <w:lang w:val="en-US"/>
        </w:rPr>
      </w:pPr>
      <w:r w:rsidRPr="00B16E8A">
        <w:rPr>
          <w:rFonts w:ascii="Arial" w:hAnsi="Arial" w:cs="Arial"/>
          <w:b/>
          <w:bCs/>
          <w:sz w:val="20"/>
          <w:szCs w:val="24"/>
          <w:lang w:val="en-US"/>
        </w:rPr>
        <w:t>Category</w:t>
      </w:r>
      <w:r>
        <w:rPr>
          <w:rFonts w:ascii="Arial" w:hAnsi="Arial" w:cs="Arial"/>
          <w:b/>
          <w:bCs/>
          <w:sz w:val="20"/>
          <w:szCs w:val="24"/>
          <w:lang w:val="en-US"/>
        </w:rPr>
        <w:t xml:space="preserve">: </w:t>
      </w:r>
      <w:r w:rsidR="0020782F">
        <w:rPr>
          <w:rFonts w:ascii="Arial" w:hAnsi="Arial" w:cs="Arial"/>
          <w:sz w:val="20"/>
          <w:szCs w:val="24"/>
          <w:lang w:val="en-US"/>
        </w:rPr>
        <w:t xml:space="preserve">Machine Learning, </w:t>
      </w:r>
      <w:r w:rsidR="00F475CB">
        <w:rPr>
          <w:rFonts w:ascii="Arial" w:hAnsi="Arial" w:cs="Arial"/>
          <w:sz w:val="20"/>
          <w:szCs w:val="24"/>
          <w:lang w:val="en-US"/>
        </w:rPr>
        <w:t xml:space="preserve">Deep Learning, </w:t>
      </w:r>
      <w:r>
        <w:rPr>
          <w:rFonts w:ascii="Arial" w:hAnsi="Arial" w:cs="Arial"/>
          <w:sz w:val="20"/>
          <w:szCs w:val="24"/>
          <w:lang w:val="en-US"/>
        </w:rPr>
        <w:t>Artificial Intelligence</w:t>
      </w:r>
      <w:r w:rsidR="00EC7475">
        <w:rPr>
          <w:rFonts w:ascii="Arial" w:hAnsi="Arial" w:cs="Arial"/>
          <w:sz w:val="20"/>
          <w:szCs w:val="24"/>
          <w:lang w:val="en-US"/>
        </w:rPr>
        <w:t>, cognitive psychology</w:t>
      </w:r>
    </w:p>
    <w:p w14:paraId="62BED362" w14:textId="77777777" w:rsidR="00A53FFF" w:rsidRPr="00B16E8A" w:rsidRDefault="00A53FFF" w:rsidP="00A53FFF">
      <w:pPr>
        <w:autoSpaceDE w:val="0"/>
        <w:autoSpaceDN w:val="0"/>
        <w:adjustRightInd w:val="0"/>
        <w:spacing w:after="0" w:line="240" w:lineRule="auto"/>
        <w:jc w:val="both"/>
        <w:rPr>
          <w:rFonts w:ascii="Arial" w:hAnsi="Arial" w:cs="Arial"/>
          <w:b/>
          <w:bCs/>
          <w:sz w:val="20"/>
          <w:szCs w:val="24"/>
          <w:lang w:val="en-US"/>
        </w:rPr>
      </w:pPr>
    </w:p>
    <w:p w14:paraId="4DC05169" w14:textId="45028A64" w:rsidR="00A53FFF" w:rsidRDefault="00A53FFF" w:rsidP="00A53FFF">
      <w:pPr>
        <w:rPr>
          <w:lang w:val="en-US"/>
        </w:rPr>
      </w:pPr>
      <w:r w:rsidRPr="00B16E8A">
        <w:rPr>
          <w:rFonts w:ascii="Arial" w:hAnsi="Arial" w:cs="Arial"/>
          <w:b/>
          <w:bCs/>
          <w:sz w:val="20"/>
          <w:szCs w:val="24"/>
          <w:lang w:val="en-US"/>
        </w:rPr>
        <w:t>Job title</w:t>
      </w:r>
      <w:r>
        <w:rPr>
          <w:rFonts w:ascii="Arial" w:hAnsi="Arial" w:cs="Arial"/>
          <w:b/>
          <w:bCs/>
          <w:sz w:val="20"/>
          <w:szCs w:val="24"/>
          <w:lang w:val="en-US"/>
        </w:rPr>
        <w:t xml:space="preserve">: </w:t>
      </w:r>
      <w:r w:rsidR="00F33F80">
        <w:rPr>
          <w:lang w:val="en-US"/>
        </w:rPr>
        <w:t>D</w:t>
      </w:r>
      <w:r w:rsidR="00F33F80" w:rsidRPr="00F33F80">
        <w:rPr>
          <w:lang w:val="en-US"/>
        </w:rPr>
        <w:t>eep learning methods for sustainable development applications</w:t>
      </w:r>
    </w:p>
    <w:p w14:paraId="0D83EA89" w14:textId="77777777" w:rsidR="00EC7475" w:rsidRPr="00BA3585" w:rsidRDefault="00EC7475" w:rsidP="00A53FFF">
      <w:pPr>
        <w:rPr>
          <w:b/>
          <w:lang w:val="en-US"/>
        </w:rPr>
      </w:pPr>
    </w:p>
    <w:p w14:paraId="65FFF7D1" w14:textId="1EBE8E4B" w:rsidR="00A53FFF" w:rsidRDefault="00A53FFF" w:rsidP="00A53FFF">
      <w:pPr>
        <w:autoSpaceDE w:val="0"/>
        <w:autoSpaceDN w:val="0"/>
        <w:adjustRightInd w:val="0"/>
        <w:spacing w:after="0" w:line="240" w:lineRule="auto"/>
        <w:jc w:val="both"/>
        <w:rPr>
          <w:rFonts w:ascii="Arial" w:hAnsi="Arial" w:cs="Arial"/>
          <w:sz w:val="20"/>
          <w:szCs w:val="24"/>
          <w:lang w:val="en-US"/>
        </w:rPr>
      </w:pPr>
      <w:r w:rsidRPr="00B16E8A">
        <w:rPr>
          <w:rFonts w:ascii="Arial" w:hAnsi="Arial" w:cs="Arial"/>
          <w:b/>
          <w:bCs/>
          <w:sz w:val="20"/>
          <w:szCs w:val="24"/>
          <w:lang w:val="en-US"/>
        </w:rPr>
        <w:t>Contract</w:t>
      </w:r>
      <w:r>
        <w:rPr>
          <w:rFonts w:ascii="Arial" w:hAnsi="Arial" w:cs="Arial"/>
          <w:b/>
          <w:bCs/>
          <w:sz w:val="20"/>
          <w:szCs w:val="24"/>
          <w:lang w:val="en-US"/>
        </w:rPr>
        <w:t xml:space="preserve">: </w:t>
      </w:r>
      <w:r w:rsidRPr="00B16E8A">
        <w:rPr>
          <w:rFonts w:ascii="Arial" w:hAnsi="Arial" w:cs="Arial"/>
          <w:sz w:val="20"/>
          <w:szCs w:val="24"/>
          <w:lang w:val="en-US"/>
        </w:rPr>
        <w:t>Post-doctora</w:t>
      </w:r>
      <w:r w:rsidR="0020782F">
        <w:rPr>
          <w:rFonts w:ascii="Arial" w:hAnsi="Arial" w:cs="Arial"/>
          <w:sz w:val="20"/>
          <w:szCs w:val="24"/>
          <w:lang w:val="en-US"/>
        </w:rPr>
        <w:t>l position</w:t>
      </w:r>
      <w:r w:rsidR="005E48BE">
        <w:rPr>
          <w:rFonts w:ascii="Arial" w:hAnsi="Arial" w:cs="Arial"/>
          <w:sz w:val="20"/>
          <w:szCs w:val="24"/>
          <w:lang w:val="en-US"/>
        </w:rPr>
        <w:t xml:space="preserve">                                    </w:t>
      </w:r>
      <w:r w:rsidR="00084457">
        <w:rPr>
          <w:rFonts w:ascii="Arial" w:hAnsi="Arial" w:cs="Arial"/>
          <w:sz w:val="20"/>
          <w:szCs w:val="24"/>
          <w:lang w:val="en-US"/>
        </w:rPr>
        <w:t xml:space="preserve">                           </w:t>
      </w:r>
      <w:r w:rsidR="005E48BE">
        <w:rPr>
          <w:rFonts w:ascii="Arial" w:hAnsi="Arial" w:cs="Arial"/>
          <w:sz w:val="20"/>
          <w:szCs w:val="24"/>
          <w:lang w:val="en-US"/>
        </w:rPr>
        <w:t xml:space="preserve"> </w:t>
      </w:r>
      <w:r>
        <w:rPr>
          <w:rFonts w:ascii="Arial" w:hAnsi="Arial" w:cs="Arial"/>
          <w:b/>
          <w:bCs/>
          <w:sz w:val="20"/>
          <w:szCs w:val="24"/>
          <w:lang w:val="en-US"/>
        </w:rPr>
        <w:t>Contract duration</w:t>
      </w:r>
      <w:r w:rsidRPr="006B1CC4">
        <w:rPr>
          <w:rFonts w:ascii="Arial" w:hAnsi="Arial" w:cs="Arial"/>
          <w:b/>
          <w:bCs/>
          <w:sz w:val="20"/>
          <w:szCs w:val="24"/>
          <w:lang w:val="en-US"/>
        </w:rPr>
        <w:t xml:space="preserve">: </w:t>
      </w:r>
      <w:r w:rsidR="00D628A3">
        <w:rPr>
          <w:rFonts w:ascii="Arial" w:hAnsi="Arial" w:cs="Arial"/>
          <w:sz w:val="20"/>
          <w:szCs w:val="24"/>
          <w:lang w:val="en-US"/>
        </w:rPr>
        <w:t>24</w:t>
      </w:r>
      <w:r w:rsidRPr="00A53FFF">
        <w:rPr>
          <w:rFonts w:ascii="Arial" w:hAnsi="Arial" w:cs="Arial"/>
          <w:sz w:val="20"/>
          <w:szCs w:val="24"/>
          <w:lang w:val="en-US"/>
        </w:rPr>
        <w:t xml:space="preserve"> months</w:t>
      </w:r>
    </w:p>
    <w:p w14:paraId="27D3027D" w14:textId="77777777" w:rsidR="00A53FFF" w:rsidRDefault="00A53FFF" w:rsidP="00A53FFF">
      <w:pPr>
        <w:autoSpaceDE w:val="0"/>
        <w:autoSpaceDN w:val="0"/>
        <w:adjustRightInd w:val="0"/>
        <w:spacing w:after="0" w:line="240" w:lineRule="auto"/>
        <w:jc w:val="both"/>
        <w:rPr>
          <w:rFonts w:ascii="Arial" w:hAnsi="Arial" w:cs="Arial"/>
          <w:sz w:val="20"/>
          <w:szCs w:val="24"/>
          <w:lang w:val="en-US"/>
        </w:rPr>
      </w:pPr>
    </w:p>
    <w:p w14:paraId="65134F06" w14:textId="6AFE0106" w:rsidR="00B901C5" w:rsidRDefault="00A53FFF" w:rsidP="00A53FFF">
      <w:pPr>
        <w:autoSpaceDE w:val="0"/>
        <w:autoSpaceDN w:val="0"/>
        <w:adjustRightInd w:val="0"/>
        <w:spacing w:after="0" w:line="240" w:lineRule="auto"/>
        <w:jc w:val="both"/>
        <w:rPr>
          <w:rFonts w:ascii="Arial" w:hAnsi="Arial" w:cs="Arial"/>
          <w:b/>
          <w:sz w:val="20"/>
          <w:szCs w:val="24"/>
          <w:lang w:val="en-US"/>
        </w:rPr>
      </w:pPr>
      <w:r w:rsidRPr="00A53FFF">
        <w:rPr>
          <w:rFonts w:ascii="Arial" w:hAnsi="Arial" w:cs="Arial"/>
          <w:b/>
          <w:sz w:val="20"/>
          <w:szCs w:val="24"/>
          <w:lang w:val="en-US"/>
        </w:rPr>
        <w:t>Subject:</w:t>
      </w:r>
    </w:p>
    <w:p w14:paraId="2D7A2869" w14:textId="2EEBB203" w:rsidR="00EC7475" w:rsidRPr="00EC7475" w:rsidRDefault="00EC7475" w:rsidP="00A53FFF">
      <w:pPr>
        <w:autoSpaceDE w:val="0"/>
        <w:autoSpaceDN w:val="0"/>
        <w:adjustRightInd w:val="0"/>
        <w:spacing w:after="0" w:line="240" w:lineRule="auto"/>
        <w:jc w:val="both"/>
        <w:rPr>
          <w:lang w:val="en-US"/>
        </w:rPr>
      </w:pPr>
      <w:r w:rsidRPr="00EC7475">
        <w:rPr>
          <w:lang w:val="en-US"/>
        </w:rPr>
        <w:t>In the current context of environmental changes, to reduce greenhouse gas emissions such as CO2, preserve biodiversity, reduce pollution, better manage water, etc., the solution is not solely technological. However, this does not mean that technology has no role to play. On the contrary, it can be an essential lever, provided it is used in a targeted and judicious manner. Today, the development of sustainable technologies is well understood, with examples such as the implementation of life cycle analysis [1]. To go further in eco-innovation [2] and address level 1 of the Tech for Sustainability axis, figure 1 in our eco-innovation approach, we must also ask: what are the specific areas where technology can have a significant positive impact to best help the ecological transition? To address this question, we aim to target the areas where the contribution of technology would be most significant. The question then becomes: in which areas will technology have the most impact?</w:t>
      </w:r>
    </w:p>
    <w:p w14:paraId="22EB6193" w14:textId="77777777" w:rsidR="00EC7475" w:rsidRDefault="00EC7475" w:rsidP="00EC7475">
      <w:pPr>
        <w:pStyle w:val="NormalWeb"/>
        <w:numPr>
          <w:ilvl w:val="0"/>
          <w:numId w:val="2"/>
        </w:numPr>
        <w:jc w:val="center"/>
      </w:pPr>
      <w:r>
        <w:rPr>
          <w:noProof/>
        </w:rPr>
        <w:drawing>
          <wp:inline distT="0" distB="0" distL="0" distR="0" wp14:anchorId="3304742C" wp14:editId="2E44D158">
            <wp:extent cx="2989690" cy="1544937"/>
            <wp:effectExtent l="0" t="0" r="127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5"/>
                    <a:stretch/>
                  </pic:blipFill>
                  <pic:spPr bwMode="auto">
                    <a:xfrm>
                      <a:off x="0" y="0"/>
                      <a:ext cx="3012995" cy="1556980"/>
                    </a:xfrm>
                    <a:prstGeom prst="rect">
                      <a:avLst/>
                    </a:prstGeom>
                  </pic:spPr>
                </pic:pic>
              </a:graphicData>
            </a:graphic>
          </wp:inline>
        </w:drawing>
      </w:r>
    </w:p>
    <w:p w14:paraId="3B0B13D4" w14:textId="495AF429" w:rsidR="00EC7475" w:rsidRPr="00EC7475" w:rsidRDefault="00EC7475" w:rsidP="00EC7475">
      <w:pPr>
        <w:pStyle w:val="NormalWeb"/>
        <w:numPr>
          <w:ilvl w:val="0"/>
          <w:numId w:val="2"/>
        </w:numPr>
        <w:jc w:val="center"/>
        <w:rPr>
          <w:rFonts w:asciiTheme="minorHAnsi" w:hAnsiTheme="minorHAnsi" w:cstheme="minorBidi"/>
          <w:sz w:val="22"/>
          <w:szCs w:val="22"/>
          <w:lang w:val="en-US" w:eastAsia="en-US"/>
        </w:rPr>
      </w:pPr>
      <w:r w:rsidRPr="00EC7475">
        <w:rPr>
          <w:rFonts w:asciiTheme="minorHAnsi" w:hAnsiTheme="minorHAnsi" w:cstheme="minorBidi"/>
          <w:sz w:val="22"/>
          <w:szCs w:val="22"/>
          <w:lang w:val="en-US" w:eastAsia="en-US"/>
        </w:rPr>
        <w:t>Figure 1 : Eco-innovation with two axes : sustainable technologies and technologies for sustainability.</w:t>
      </w:r>
    </w:p>
    <w:p w14:paraId="24D270E3" w14:textId="54661B5C" w:rsidR="00EC7475" w:rsidRDefault="00EC7475" w:rsidP="00EC7475">
      <w:pPr>
        <w:pStyle w:val="NormalWeb"/>
        <w:jc w:val="both"/>
        <w:rPr>
          <w:rFonts w:asciiTheme="minorHAnsi" w:hAnsiTheme="minorHAnsi" w:cstheme="minorBidi"/>
          <w:sz w:val="22"/>
          <w:szCs w:val="22"/>
          <w:lang w:val="en-US" w:eastAsia="en-US"/>
        </w:rPr>
      </w:pPr>
      <w:r w:rsidRPr="00EC7475">
        <w:rPr>
          <w:rFonts w:asciiTheme="minorHAnsi" w:hAnsiTheme="minorHAnsi" w:cstheme="minorBidi"/>
          <w:sz w:val="22"/>
          <w:szCs w:val="22"/>
          <w:lang w:val="en-US" w:eastAsia="en-US"/>
        </w:rPr>
        <w:t>The main objective is therefore to develop a methodology to help us target the application domains as well as the associated technologies that will best support this transition. To identify these priority domains, a starting point could be the work done by The Shift Project [3], which proposes sustainable solutions classified by industry sectors. This reference provides a solid foundation for evaluating the most relevant and feasible actions. There are other studies, such as those by ADEME [4]. However, these studies remain quite high-level, proposing, for example, to optimize water resources without prioritizing them. We aim to develop a methodology that allows us to define priority subjects both inter- and intra-domains, i.e., those that would be the most impactful as well as those that should be avoided. For example, we would like to know if it is more relevant to start with the agricultural sector rather than the energy sector, or if both should be pursued simultaneously. In the case where agriculture is the most impactful, should we prioritize technologies to promote agroecological practices or aim to reduce food</w:t>
      </w:r>
      <w:r w:rsidRPr="00EC7475">
        <w:rPr>
          <w:lang w:val="en-US"/>
        </w:rPr>
        <w:t xml:space="preserve"> </w:t>
      </w:r>
      <w:r w:rsidRPr="00EC7475">
        <w:rPr>
          <w:rFonts w:asciiTheme="minorHAnsi" w:hAnsiTheme="minorHAnsi" w:cstheme="minorBidi"/>
          <w:sz w:val="22"/>
          <w:szCs w:val="22"/>
          <w:lang w:val="en-US" w:eastAsia="en-US"/>
        </w:rPr>
        <w:t>waste through intelligent logistics solutions?</w:t>
      </w:r>
    </w:p>
    <w:p w14:paraId="7110F43C" w14:textId="779A796D" w:rsidR="00CC3D53" w:rsidRPr="00CC3D53" w:rsidRDefault="00CC3D53" w:rsidP="00CC3D53">
      <w:pPr>
        <w:pStyle w:val="NormalWeb"/>
        <w:jc w:val="both"/>
        <w:rPr>
          <w:rFonts w:asciiTheme="minorHAnsi" w:hAnsiTheme="minorHAnsi" w:cstheme="minorBidi"/>
          <w:sz w:val="22"/>
          <w:szCs w:val="22"/>
          <w:lang w:val="en-US" w:eastAsia="en-US"/>
        </w:rPr>
      </w:pPr>
      <w:r w:rsidRPr="00CC3D53">
        <w:rPr>
          <w:rFonts w:asciiTheme="minorHAnsi" w:hAnsiTheme="minorHAnsi" w:cstheme="minorBidi"/>
          <w:sz w:val="22"/>
          <w:szCs w:val="22"/>
          <w:lang w:val="en-US" w:eastAsia="en-US"/>
        </w:rPr>
        <w:t>Since the impact of a technology also depends on how it is appropriated and used by potential future users, it is important to assess their perceptions—such as acceptability, usability, and desirability. For a review of technology acceptance models, see</w:t>
      </w:r>
      <w:r>
        <w:rPr>
          <w:rFonts w:asciiTheme="minorHAnsi" w:hAnsiTheme="minorHAnsi" w:cstheme="minorBidi"/>
          <w:sz w:val="22"/>
          <w:szCs w:val="22"/>
          <w:lang w:val="en-US" w:eastAsia="en-US"/>
        </w:rPr>
        <w:t xml:space="preserve"> [5]</w:t>
      </w:r>
      <w:r w:rsidRPr="00CC3D53">
        <w:rPr>
          <w:rFonts w:asciiTheme="minorHAnsi" w:hAnsiTheme="minorHAnsi" w:cstheme="minorBidi"/>
          <w:sz w:val="22"/>
          <w:szCs w:val="22"/>
          <w:lang w:val="en-US" w:eastAsia="en-US"/>
        </w:rPr>
        <w:t>.</w:t>
      </w:r>
    </w:p>
    <w:p w14:paraId="424B628E" w14:textId="77777777" w:rsidR="00EC7475" w:rsidRPr="00EC7475" w:rsidRDefault="00EC7475" w:rsidP="00EC7475">
      <w:pPr>
        <w:pStyle w:val="NormalWeb"/>
        <w:jc w:val="both"/>
        <w:rPr>
          <w:rFonts w:asciiTheme="minorHAnsi" w:hAnsiTheme="minorHAnsi" w:cstheme="minorBidi"/>
          <w:sz w:val="22"/>
          <w:szCs w:val="22"/>
          <w:lang w:val="en-US" w:eastAsia="en-US"/>
        </w:rPr>
      </w:pPr>
      <w:r w:rsidRPr="00EC7475">
        <w:rPr>
          <w:rFonts w:asciiTheme="minorHAnsi" w:hAnsiTheme="minorHAnsi" w:cstheme="minorBidi"/>
          <w:sz w:val="22"/>
          <w:szCs w:val="22"/>
          <w:lang w:val="en-US" w:eastAsia="en-US"/>
        </w:rPr>
        <w:t>Guided by these questions, the research axes are as follows:</w:t>
      </w:r>
    </w:p>
    <w:p w14:paraId="5BD8E069" w14:textId="77777777" w:rsidR="00EC7475" w:rsidRPr="00EC7475" w:rsidRDefault="00EC7475" w:rsidP="00EC7475">
      <w:pPr>
        <w:pStyle w:val="NormalWeb"/>
        <w:numPr>
          <w:ilvl w:val="0"/>
          <w:numId w:val="5"/>
        </w:numPr>
        <w:jc w:val="both"/>
        <w:rPr>
          <w:rFonts w:asciiTheme="minorHAnsi" w:hAnsiTheme="minorHAnsi" w:cstheme="minorBidi"/>
          <w:sz w:val="22"/>
          <w:szCs w:val="22"/>
          <w:lang w:val="en-US" w:eastAsia="en-US"/>
        </w:rPr>
      </w:pPr>
      <w:r w:rsidRPr="00EC7475">
        <w:rPr>
          <w:rFonts w:asciiTheme="minorHAnsi" w:hAnsiTheme="minorHAnsi" w:cstheme="minorBidi"/>
          <w:sz w:val="22"/>
          <w:szCs w:val="22"/>
          <w:lang w:val="en-US" w:eastAsia="en-US"/>
        </w:rPr>
        <w:t>Continuation of preliminary work on identifying solutions that aid the ecological transition, linking them with various AI components/technologies developed within the department.</w:t>
      </w:r>
    </w:p>
    <w:p w14:paraId="2A2615FB" w14:textId="77777777" w:rsidR="00EC7475" w:rsidRPr="00EC7475" w:rsidRDefault="00EC7475" w:rsidP="00EC7475">
      <w:pPr>
        <w:pStyle w:val="NormalWeb"/>
        <w:numPr>
          <w:ilvl w:val="0"/>
          <w:numId w:val="5"/>
        </w:numPr>
        <w:jc w:val="both"/>
        <w:rPr>
          <w:rFonts w:asciiTheme="minorHAnsi" w:hAnsiTheme="minorHAnsi" w:cstheme="minorBidi"/>
          <w:sz w:val="22"/>
          <w:szCs w:val="22"/>
          <w:lang w:val="en-US" w:eastAsia="en-US"/>
        </w:rPr>
      </w:pPr>
      <w:r w:rsidRPr="00EC7475">
        <w:rPr>
          <w:rFonts w:asciiTheme="minorHAnsi" w:hAnsiTheme="minorHAnsi" w:cstheme="minorBidi"/>
          <w:sz w:val="22"/>
          <w:szCs w:val="22"/>
          <w:lang w:val="en-US" w:eastAsia="en-US"/>
        </w:rPr>
        <w:lastRenderedPageBreak/>
        <w:t>First-order or more in-depth evaluations of the positive and negative impacts of the identified AI technologies, and selection of the most relevant applications for the department's technologies.</w:t>
      </w:r>
    </w:p>
    <w:p w14:paraId="4155A13C" w14:textId="6084AB3D" w:rsidR="00EC7475" w:rsidRPr="00EC7475" w:rsidRDefault="00EC7475" w:rsidP="00EC7475">
      <w:pPr>
        <w:pStyle w:val="NormalWeb"/>
        <w:numPr>
          <w:ilvl w:val="0"/>
          <w:numId w:val="5"/>
        </w:numPr>
        <w:jc w:val="both"/>
        <w:rPr>
          <w:rFonts w:asciiTheme="minorHAnsi" w:hAnsiTheme="minorHAnsi" w:cstheme="minorBidi"/>
          <w:sz w:val="22"/>
          <w:szCs w:val="22"/>
          <w:lang w:val="en-US" w:eastAsia="en-US"/>
        </w:rPr>
      </w:pPr>
      <w:r w:rsidRPr="00EC7475">
        <w:rPr>
          <w:rFonts w:asciiTheme="minorHAnsi" w:hAnsiTheme="minorHAnsi" w:cstheme="minorBidi"/>
          <w:sz w:val="22"/>
          <w:szCs w:val="22"/>
          <w:lang w:val="en-US" w:eastAsia="en-US"/>
        </w:rPr>
        <w:t>For the applications identified as priorities, conducting desirability studies in collaboration with LPNC.</w:t>
      </w:r>
      <w:r w:rsidR="00CC3D53">
        <w:rPr>
          <w:rFonts w:asciiTheme="minorHAnsi" w:hAnsiTheme="minorHAnsi" w:cstheme="minorBidi"/>
          <w:sz w:val="22"/>
          <w:szCs w:val="22"/>
          <w:lang w:val="en-US" w:eastAsia="en-US"/>
        </w:rPr>
        <w:t xml:space="preserve"> </w:t>
      </w:r>
    </w:p>
    <w:p w14:paraId="2BC9815F" w14:textId="77777777" w:rsidR="00A53FFF" w:rsidRPr="006B1CC4" w:rsidRDefault="00A53FFF" w:rsidP="00A53FFF">
      <w:pPr>
        <w:autoSpaceDE w:val="0"/>
        <w:autoSpaceDN w:val="0"/>
        <w:adjustRightInd w:val="0"/>
        <w:spacing w:after="0" w:line="240" w:lineRule="auto"/>
        <w:jc w:val="both"/>
        <w:rPr>
          <w:rFonts w:ascii="Arial" w:hAnsi="Arial" w:cs="Arial"/>
          <w:b/>
          <w:bCs/>
          <w:sz w:val="20"/>
          <w:szCs w:val="24"/>
          <w:lang w:val="en-US"/>
        </w:rPr>
      </w:pPr>
      <w:r w:rsidRPr="006B1CC4">
        <w:rPr>
          <w:rFonts w:ascii="Arial" w:hAnsi="Arial" w:cs="Arial"/>
          <w:b/>
          <w:bCs/>
          <w:sz w:val="20"/>
          <w:szCs w:val="24"/>
          <w:lang w:val="en-US"/>
        </w:rPr>
        <w:t>Applicant Profile</w:t>
      </w:r>
    </w:p>
    <w:p w14:paraId="5C66A3DA" w14:textId="7B689918" w:rsidR="00A53FFF" w:rsidRPr="0094018C" w:rsidRDefault="00A53FFF" w:rsidP="00A53FFF">
      <w:pPr>
        <w:autoSpaceDE w:val="0"/>
        <w:autoSpaceDN w:val="0"/>
        <w:adjustRightInd w:val="0"/>
        <w:spacing w:after="0" w:line="240" w:lineRule="auto"/>
        <w:jc w:val="both"/>
        <w:rPr>
          <w:lang w:val="en-US"/>
        </w:rPr>
      </w:pPr>
      <w:r w:rsidRPr="0094018C">
        <w:rPr>
          <w:lang w:val="en-US"/>
        </w:rPr>
        <w:t>The candidate should have completed a PhD in Computer Science,</w:t>
      </w:r>
      <w:r w:rsidR="00402FDE">
        <w:rPr>
          <w:lang w:val="en-US"/>
        </w:rPr>
        <w:t xml:space="preserve"> </w:t>
      </w:r>
      <w:r w:rsidRPr="0094018C">
        <w:rPr>
          <w:lang w:val="en-US"/>
        </w:rPr>
        <w:t>Machine Learning</w:t>
      </w:r>
      <w:r w:rsidR="00A06B66">
        <w:rPr>
          <w:lang w:val="en-US"/>
        </w:rPr>
        <w:t xml:space="preserve">, or </w:t>
      </w:r>
      <w:r w:rsidR="00402FDE">
        <w:rPr>
          <w:lang w:val="en-US"/>
        </w:rPr>
        <w:t>S</w:t>
      </w:r>
      <w:r w:rsidR="00A06B66">
        <w:rPr>
          <w:lang w:val="en-US"/>
        </w:rPr>
        <w:t xml:space="preserve">ignal </w:t>
      </w:r>
      <w:r w:rsidR="00402FDE">
        <w:rPr>
          <w:lang w:val="en-US"/>
        </w:rPr>
        <w:t>P</w:t>
      </w:r>
      <w:r w:rsidR="00A06B66">
        <w:rPr>
          <w:lang w:val="en-US"/>
        </w:rPr>
        <w:t>rocessing</w:t>
      </w:r>
      <w:r w:rsidR="00EC7475">
        <w:rPr>
          <w:lang w:val="en-US"/>
        </w:rPr>
        <w:t xml:space="preserve"> or cognitive sciences.</w:t>
      </w:r>
    </w:p>
    <w:p w14:paraId="68A8BCEE" w14:textId="77777777" w:rsidR="00A53FFF" w:rsidRPr="0094018C" w:rsidRDefault="00A53FFF" w:rsidP="00A53FFF">
      <w:pPr>
        <w:autoSpaceDE w:val="0"/>
        <w:autoSpaceDN w:val="0"/>
        <w:adjustRightInd w:val="0"/>
        <w:spacing w:after="0" w:line="240" w:lineRule="auto"/>
        <w:jc w:val="both"/>
        <w:rPr>
          <w:lang w:val="en-US"/>
        </w:rPr>
      </w:pPr>
      <w:r w:rsidRPr="0094018C">
        <w:rPr>
          <w:lang w:val="en-US"/>
        </w:rPr>
        <w:t>Knowledges and experiences in some or all of the following fields will be an asset during the position:</w:t>
      </w:r>
    </w:p>
    <w:p w14:paraId="2C64F564" w14:textId="77777777" w:rsidR="00A53FFF" w:rsidRPr="0094018C" w:rsidRDefault="00F475CB" w:rsidP="00A53FFF">
      <w:pPr>
        <w:pStyle w:val="Paragraphedeliste"/>
        <w:numPr>
          <w:ilvl w:val="0"/>
          <w:numId w:val="1"/>
        </w:numPr>
        <w:autoSpaceDE w:val="0"/>
        <w:autoSpaceDN w:val="0"/>
        <w:adjustRightInd w:val="0"/>
        <w:spacing w:after="0" w:line="240" w:lineRule="auto"/>
        <w:jc w:val="both"/>
        <w:rPr>
          <w:lang w:val="en-US"/>
        </w:rPr>
      </w:pPr>
      <w:r>
        <w:rPr>
          <w:lang w:val="en-US"/>
        </w:rPr>
        <w:t>Deep learning /</w:t>
      </w:r>
      <w:r w:rsidRPr="0094018C">
        <w:rPr>
          <w:lang w:val="en-US"/>
        </w:rPr>
        <w:t xml:space="preserve"> </w:t>
      </w:r>
      <w:r w:rsidR="00A53FFF" w:rsidRPr="0094018C">
        <w:rPr>
          <w:lang w:val="en-US"/>
        </w:rPr>
        <w:t>Machine Learning</w:t>
      </w:r>
      <w:r w:rsidR="00F33F80">
        <w:rPr>
          <w:lang w:val="en-US"/>
        </w:rPr>
        <w:t xml:space="preserve"> </w:t>
      </w:r>
    </w:p>
    <w:p w14:paraId="3826CBA1" w14:textId="76C61BEF" w:rsidR="00A53FFF" w:rsidRDefault="00A53FFF" w:rsidP="00A53FFF">
      <w:pPr>
        <w:pStyle w:val="Paragraphedeliste"/>
        <w:numPr>
          <w:ilvl w:val="0"/>
          <w:numId w:val="1"/>
        </w:numPr>
        <w:autoSpaceDE w:val="0"/>
        <w:autoSpaceDN w:val="0"/>
        <w:adjustRightInd w:val="0"/>
        <w:spacing w:after="0" w:line="240" w:lineRule="auto"/>
        <w:jc w:val="both"/>
        <w:rPr>
          <w:lang w:val="en-US"/>
        </w:rPr>
      </w:pPr>
      <w:r w:rsidRPr="0094018C">
        <w:rPr>
          <w:lang w:val="en-US"/>
        </w:rPr>
        <w:t>Applied mathematics (probability / statistics)</w:t>
      </w:r>
    </w:p>
    <w:p w14:paraId="292AA785" w14:textId="512290CC" w:rsidR="00EC7475" w:rsidRPr="0094018C" w:rsidRDefault="00EC7475" w:rsidP="00A53FFF">
      <w:pPr>
        <w:pStyle w:val="Paragraphedeliste"/>
        <w:numPr>
          <w:ilvl w:val="0"/>
          <w:numId w:val="1"/>
        </w:numPr>
        <w:autoSpaceDE w:val="0"/>
        <w:autoSpaceDN w:val="0"/>
        <w:adjustRightInd w:val="0"/>
        <w:spacing w:after="0" w:line="240" w:lineRule="auto"/>
        <w:jc w:val="both"/>
        <w:rPr>
          <w:lang w:val="en-US"/>
        </w:rPr>
      </w:pPr>
      <w:r>
        <w:rPr>
          <w:lang w:val="en-US"/>
        </w:rPr>
        <w:t>Cognitive psychology</w:t>
      </w:r>
    </w:p>
    <w:p w14:paraId="22E7897A" w14:textId="43259F43" w:rsidR="00A53FFF" w:rsidRPr="0094018C" w:rsidRDefault="00A53FFF" w:rsidP="00A53FFF">
      <w:pPr>
        <w:autoSpaceDE w:val="0"/>
        <w:autoSpaceDN w:val="0"/>
        <w:adjustRightInd w:val="0"/>
        <w:spacing w:after="0" w:line="240" w:lineRule="auto"/>
        <w:jc w:val="both"/>
        <w:rPr>
          <w:lang w:val="en-US"/>
        </w:rPr>
      </w:pPr>
      <w:r w:rsidRPr="0094018C">
        <w:rPr>
          <w:lang w:val="en-US"/>
        </w:rPr>
        <w:t>A brief description of the PhD thesis, a publication list and some recommendations should be included to your application.</w:t>
      </w:r>
    </w:p>
    <w:p w14:paraId="2791C837" w14:textId="77777777" w:rsidR="00A53FFF" w:rsidRPr="00B16E8A" w:rsidRDefault="00A53FFF" w:rsidP="00A53FFF">
      <w:pPr>
        <w:autoSpaceDE w:val="0"/>
        <w:autoSpaceDN w:val="0"/>
        <w:adjustRightInd w:val="0"/>
        <w:spacing w:after="0" w:line="240" w:lineRule="auto"/>
        <w:jc w:val="both"/>
        <w:rPr>
          <w:rFonts w:ascii="Arial" w:hAnsi="Arial" w:cs="Arial"/>
          <w:color w:val="353535"/>
          <w:szCs w:val="24"/>
          <w:lang w:val="en-US"/>
        </w:rPr>
      </w:pPr>
    </w:p>
    <w:p w14:paraId="1EBAB6FB" w14:textId="1B56D426" w:rsidR="00A53FFF" w:rsidRDefault="00A53FFF" w:rsidP="00A53FFF">
      <w:pPr>
        <w:autoSpaceDE w:val="0"/>
        <w:autoSpaceDN w:val="0"/>
        <w:adjustRightInd w:val="0"/>
        <w:spacing w:after="0" w:line="240" w:lineRule="auto"/>
        <w:jc w:val="both"/>
        <w:rPr>
          <w:rFonts w:ascii="Arial" w:hAnsi="Arial" w:cs="Arial"/>
          <w:sz w:val="20"/>
          <w:szCs w:val="24"/>
          <w:lang w:val="en-US"/>
        </w:rPr>
      </w:pPr>
      <w:r w:rsidRPr="00A53FFF">
        <w:rPr>
          <w:rFonts w:ascii="Arial" w:hAnsi="Arial" w:cs="Arial"/>
          <w:b/>
          <w:bCs/>
          <w:sz w:val="20"/>
          <w:szCs w:val="24"/>
          <w:lang w:val="en-US"/>
        </w:rPr>
        <w:t>Job location</w:t>
      </w:r>
      <w:r w:rsidR="005E48BE">
        <w:rPr>
          <w:rFonts w:ascii="Arial" w:hAnsi="Arial" w:cs="Arial"/>
          <w:b/>
          <w:bCs/>
          <w:sz w:val="20"/>
          <w:szCs w:val="24"/>
          <w:lang w:val="en-US"/>
        </w:rPr>
        <w:t xml:space="preserve">:  </w:t>
      </w:r>
      <w:r w:rsidRPr="00F33F80">
        <w:rPr>
          <w:rFonts w:ascii="Arial" w:hAnsi="Arial" w:cs="Arial"/>
          <w:sz w:val="20"/>
          <w:szCs w:val="24"/>
          <w:lang w:val="en-US"/>
        </w:rPr>
        <w:t>France, Grenoble</w:t>
      </w:r>
    </w:p>
    <w:p w14:paraId="501043BC" w14:textId="77777777" w:rsidR="0020782F" w:rsidRPr="00EC7475" w:rsidRDefault="0020782F" w:rsidP="0020782F">
      <w:pPr>
        <w:pStyle w:val="Sansinterligne"/>
        <w:ind w:left="709"/>
        <w:rPr>
          <w:lang w:val="en-US"/>
        </w:rPr>
      </w:pPr>
    </w:p>
    <w:p w14:paraId="7C0A7C38" w14:textId="77777777" w:rsidR="00A53FFF" w:rsidRPr="00F33F80" w:rsidRDefault="00A53FFF" w:rsidP="00A53FFF">
      <w:pPr>
        <w:autoSpaceDE w:val="0"/>
        <w:autoSpaceDN w:val="0"/>
        <w:adjustRightInd w:val="0"/>
        <w:spacing w:after="0" w:line="240" w:lineRule="auto"/>
        <w:jc w:val="both"/>
        <w:rPr>
          <w:rFonts w:ascii="Arial" w:hAnsi="Arial" w:cs="Arial"/>
          <w:sz w:val="20"/>
          <w:szCs w:val="24"/>
          <w:lang w:val="en-US"/>
        </w:rPr>
      </w:pPr>
    </w:p>
    <w:p w14:paraId="394C63A9" w14:textId="2EDA5A19" w:rsidR="00A53FFF" w:rsidRDefault="00246A22" w:rsidP="005E48BE">
      <w:pPr>
        <w:autoSpaceDE w:val="0"/>
        <w:autoSpaceDN w:val="0"/>
        <w:adjustRightInd w:val="0"/>
        <w:spacing w:after="0" w:line="240" w:lineRule="auto"/>
        <w:jc w:val="both"/>
        <w:rPr>
          <w:rFonts w:ascii="Arial" w:hAnsi="Arial" w:cs="Arial"/>
          <w:sz w:val="20"/>
          <w:szCs w:val="24"/>
          <w:lang w:val="en-US"/>
        </w:rPr>
      </w:pPr>
      <w:r>
        <w:rPr>
          <w:rFonts w:ascii="Arial" w:hAnsi="Arial" w:cs="Arial"/>
          <w:b/>
          <w:bCs/>
          <w:sz w:val="20"/>
          <w:szCs w:val="24"/>
          <w:lang w:val="en-US"/>
        </w:rPr>
        <w:t xml:space="preserve">Position start from </w:t>
      </w:r>
      <w:r w:rsidR="0020782F">
        <w:rPr>
          <w:rFonts w:ascii="Arial" w:hAnsi="Arial" w:cs="Arial"/>
          <w:b/>
          <w:bCs/>
          <w:sz w:val="20"/>
          <w:szCs w:val="24"/>
          <w:lang w:val="en-US"/>
        </w:rPr>
        <w:t>September 2025</w:t>
      </w:r>
    </w:p>
    <w:p w14:paraId="429812DA" w14:textId="77777777" w:rsidR="005E48BE" w:rsidRPr="005E48BE" w:rsidRDefault="005E48BE" w:rsidP="005E48BE">
      <w:pPr>
        <w:autoSpaceDE w:val="0"/>
        <w:autoSpaceDN w:val="0"/>
        <w:adjustRightInd w:val="0"/>
        <w:spacing w:after="0" w:line="240" w:lineRule="auto"/>
        <w:jc w:val="both"/>
        <w:rPr>
          <w:rFonts w:ascii="Arial" w:hAnsi="Arial" w:cs="Arial"/>
          <w:b/>
          <w:bCs/>
          <w:sz w:val="20"/>
          <w:szCs w:val="24"/>
          <w:lang w:val="en-US"/>
        </w:rPr>
      </w:pPr>
    </w:p>
    <w:p w14:paraId="5F180179" w14:textId="77777777" w:rsidR="00A53FFF" w:rsidRPr="00F33F80" w:rsidRDefault="00A53FFF" w:rsidP="00A53FFF">
      <w:pPr>
        <w:autoSpaceDE w:val="0"/>
        <w:autoSpaceDN w:val="0"/>
        <w:adjustRightInd w:val="0"/>
        <w:spacing w:after="0" w:line="240" w:lineRule="auto"/>
        <w:jc w:val="both"/>
        <w:rPr>
          <w:rFonts w:ascii="Arial" w:hAnsi="Arial" w:cs="Arial"/>
          <w:b/>
          <w:bCs/>
          <w:sz w:val="20"/>
          <w:szCs w:val="24"/>
          <w:lang w:val="en-US"/>
        </w:rPr>
      </w:pPr>
      <w:r w:rsidRPr="00F33F80">
        <w:rPr>
          <w:rFonts w:ascii="Arial" w:hAnsi="Arial" w:cs="Arial"/>
          <w:b/>
          <w:bCs/>
          <w:sz w:val="20"/>
          <w:szCs w:val="24"/>
          <w:lang w:val="en-US"/>
        </w:rPr>
        <w:t>Contact</w:t>
      </w:r>
    </w:p>
    <w:p w14:paraId="36FD555A" w14:textId="20D1F542" w:rsidR="00A53FFF" w:rsidRDefault="007E1126" w:rsidP="00A53FFF">
      <w:pPr>
        <w:autoSpaceDE w:val="0"/>
        <w:autoSpaceDN w:val="0"/>
        <w:adjustRightInd w:val="0"/>
        <w:spacing w:after="0" w:line="240" w:lineRule="auto"/>
        <w:jc w:val="both"/>
        <w:rPr>
          <w:rFonts w:ascii="Arial" w:hAnsi="Arial" w:cs="Arial"/>
          <w:bCs/>
          <w:sz w:val="20"/>
          <w:szCs w:val="24"/>
          <w:lang w:val="en-US"/>
        </w:rPr>
      </w:pPr>
      <w:r w:rsidRPr="007E1126">
        <w:rPr>
          <w:rFonts w:ascii="Arial" w:hAnsi="Arial" w:cs="Arial"/>
          <w:bCs/>
          <w:sz w:val="20"/>
          <w:szCs w:val="24"/>
          <w:lang w:val="en-US"/>
        </w:rPr>
        <w:t>Marina R</w:t>
      </w:r>
      <w:r w:rsidR="00F33F80">
        <w:rPr>
          <w:rFonts w:ascii="Arial" w:hAnsi="Arial" w:cs="Arial"/>
          <w:bCs/>
          <w:sz w:val="20"/>
          <w:szCs w:val="24"/>
          <w:lang w:val="en-US"/>
        </w:rPr>
        <w:t>eyboz</w:t>
      </w:r>
      <w:r w:rsidR="00A53FFF" w:rsidRPr="007E1126">
        <w:rPr>
          <w:rFonts w:ascii="Arial" w:hAnsi="Arial" w:cs="Arial"/>
          <w:bCs/>
          <w:sz w:val="20"/>
          <w:szCs w:val="24"/>
          <w:lang w:val="en-US"/>
        </w:rPr>
        <w:t xml:space="preserve">, </w:t>
      </w:r>
      <w:hyperlink r:id="rId6" w:history="1">
        <w:r w:rsidR="00825CC9" w:rsidRPr="00825CC9">
          <w:rPr>
            <w:rStyle w:val="Lienhypertexte"/>
            <w:rFonts w:ascii="Arial" w:hAnsi="Arial" w:cs="Arial"/>
            <w:bCs/>
            <w:sz w:val="20"/>
            <w:szCs w:val="24"/>
            <w:lang w:val="en-US"/>
          </w:rPr>
          <w:t>marina.reyboz@cea.fr</w:t>
        </w:r>
      </w:hyperlink>
      <w:r w:rsidR="00825CC9" w:rsidRPr="00825CC9">
        <w:rPr>
          <w:rFonts w:ascii="Arial" w:hAnsi="Arial" w:cs="Arial"/>
          <w:bCs/>
          <w:sz w:val="20"/>
          <w:szCs w:val="24"/>
          <w:lang w:val="en-US"/>
        </w:rPr>
        <w:t xml:space="preserve"> </w:t>
      </w:r>
      <w:r w:rsidR="00A53FFF" w:rsidRPr="00825CC9">
        <w:rPr>
          <w:rFonts w:ascii="Arial" w:hAnsi="Arial" w:cs="Arial"/>
          <w:bCs/>
          <w:sz w:val="20"/>
          <w:szCs w:val="24"/>
          <w:lang w:val="en-US"/>
        </w:rPr>
        <w:t>, 0</w:t>
      </w:r>
      <w:r w:rsidR="00A53FFF" w:rsidRPr="007E1126">
        <w:rPr>
          <w:rFonts w:ascii="Arial" w:hAnsi="Arial" w:cs="Arial"/>
          <w:bCs/>
          <w:sz w:val="20"/>
          <w:szCs w:val="24"/>
          <w:lang w:val="en-US"/>
        </w:rPr>
        <w:t>4.38.78.27.68</w:t>
      </w:r>
    </w:p>
    <w:p w14:paraId="31BAA617" w14:textId="60829446" w:rsidR="00EC7475" w:rsidRDefault="00EC7475" w:rsidP="00A53FFF">
      <w:pPr>
        <w:autoSpaceDE w:val="0"/>
        <w:autoSpaceDN w:val="0"/>
        <w:adjustRightInd w:val="0"/>
        <w:spacing w:after="0" w:line="240" w:lineRule="auto"/>
        <w:jc w:val="both"/>
        <w:rPr>
          <w:rFonts w:ascii="Arial" w:hAnsi="Arial" w:cs="Arial"/>
          <w:bCs/>
          <w:sz w:val="20"/>
          <w:szCs w:val="24"/>
          <w:lang w:val="en-US"/>
        </w:rPr>
      </w:pPr>
    </w:p>
    <w:p w14:paraId="0C7F2C0E" w14:textId="2F1EBD8F" w:rsidR="00EC7475" w:rsidRPr="00EC7475" w:rsidRDefault="00EC7475" w:rsidP="00A53FFF">
      <w:pPr>
        <w:autoSpaceDE w:val="0"/>
        <w:autoSpaceDN w:val="0"/>
        <w:adjustRightInd w:val="0"/>
        <w:spacing w:after="0" w:line="240" w:lineRule="auto"/>
        <w:jc w:val="both"/>
        <w:rPr>
          <w:rFonts w:ascii="Arial" w:hAnsi="Arial" w:cs="Arial"/>
          <w:b/>
          <w:sz w:val="20"/>
          <w:szCs w:val="24"/>
          <w:lang w:val="en-US"/>
        </w:rPr>
      </w:pPr>
      <w:r w:rsidRPr="00EC7475">
        <w:rPr>
          <w:rFonts w:ascii="Arial" w:hAnsi="Arial" w:cs="Arial"/>
          <w:b/>
          <w:sz w:val="20"/>
          <w:szCs w:val="24"/>
          <w:lang w:val="en-US"/>
        </w:rPr>
        <w:t xml:space="preserve">References </w:t>
      </w:r>
    </w:p>
    <w:p w14:paraId="24BF1B8C" w14:textId="77777777" w:rsidR="00EC7475" w:rsidRPr="00527AC2" w:rsidRDefault="00EC7475" w:rsidP="00EC7475">
      <w:pPr>
        <w:rPr>
          <w:lang w:val="en-US"/>
        </w:rPr>
      </w:pPr>
      <w:r>
        <w:rPr>
          <w:lang w:val="en-US"/>
        </w:rPr>
        <w:t>[1</w:t>
      </w:r>
      <w:r w:rsidRPr="00FA65A7">
        <w:rPr>
          <w:lang w:val="en-US"/>
        </w:rPr>
        <w:t xml:space="preserve">] D. Bol, S. Boyd and D. Dornfeld, « Application-aware LCA of semiconductors: life-cycle energy of  microprocessors from high-performance 32nm CPU  to ultra-low-power 130nm MCU », in Proc. </w:t>
      </w:r>
      <w:r w:rsidRPr="00527AC2">
        <w:rPr>
          <w:lang w:val="en-US"/>
        </w:rPr>
        <w:t>IEEE ISSST, 2011</w:t>
      </w:r>
    </w:p>
    <w:p w14:paraId="52909742" w14:textId="77777777" w:rsidR="00EC7475" w:rsidRPr="00FA65A7" w:rsidRDefault="00EC7475" w:rsidP="00EC7475">
      <w:pPr>
        <w:rPr>
          <w:lang w:val="en-US"/>
        </w:rPr>
      </w:pPr>
      <w:r w:rsidRPr="00FA65A7">
        <w:rPr>
          <w:lang w:val="en-US"/>
        </w:rPr>
        <w:t>[</w:t>
      </w:r>
      <w:r>
        <w:rPr>
          <w:lang w:val="en-US"/>
        </w:rPr>
        <w:t>2</w:t>
      </w:r>
      <w:r w:rsidRPr="00FA65A7">
        <w:rPr>
          <w:lang w:val="en-US"/>
        </w:rPr>
        <w:t>] C. Sandionigi, J.-F. Berrée, M. Peralta, A. Piel, B. Robin, Sustainable technology and Technology for sustainability: The paths towards Eco-innovation, Electronics Goes Green 2024</w:t>
      </w:r>
    </w:p>
    <w:p w14:paraId="1007B12C" w14:textId="77777777" w:rsidR="00EC7475" w:rsidRDefault="00EC7475" w:rsidP="00EC7475">
      <w:r>
        <w:t xml:space="preserve">[3] </w:t>
      </w:r>
      <w:hyperlink r:id="rId7" w:history="1">
        <w:r w:rsidRPr="008C75D3">
          <w:rPr>
            <w:rStyle w:val="Lienhypertexte"/>
          </w:rPr>
          <w:t>https://theshiftproject.org/</w:t>
        </w:r>
      </w:hyperlink>
      <w:r>
        <w:t xml:space="preserve"> ou dans le domaine de l’agriculture</w:t>
      </w:r>
      <w:r w:rsidRPr="00334C5B">
        <w:t xml:space="preserve"> </w:t>
      </w:r>
      <w:r>
        <w:t xml:space="preserve"> « Pour une agriculture bas carbone, résiliente et prospère », </w:t>
      </w:r>
      <w:hyperlink r:id="rId8" w:history="1">
        <w:r w:rsidRPr="008C75D3">
          <w:rPr>
            <w:rStyle w:val="Lienhypertexte"/>
          </w:rPr>
          <w:t>https://theshiftproject.org/wp-content/uploads/2024/11/RF-Agri-Synthese-DEF.pdf</w:t>
        </w:r>
      </w:hyperlink>
      <w:r>
        <w:t>, 2024</w:t>
      </w:r>
    </w:p>
    <w:p w14:paraId="12249192" w14:textId="3294B00C" w:rsidR="00EC7475" w:rsidRDefault="00EC7475" w:rsidP="00EC7475">
      <w:r>
        <w:t xml:space="preserve">[4] « Evaluation environnementale des effets directs et indirects du numérique pour des cas d’usages », </w:t>
      </w:r>
      <w:hyperlink r:id="rId9" w:history="1">
        <w:r w:rsidRPr="008C75D3">
          <w:rPr>
            <w:rStyle w:val="Lienhypertexte"/>
          </w:rPr>
          <w:t>https://librairie.ademe.fr/economie-circulaire-et-dechets/7785-it4green-evaluation-environnementale-des-effets-directs-et-indirects-du-numerique-pour-des-cas-d-usage.html</w:t>
        </w:r>
      </w:hyperlink>
      <w:r>
        <w:t>, 2024</w:t>
      </w:r>
    </w:p>
    <w:p w14:paraId="44F3F6E4" w14:textId="54DC7446" w:rsidR="00CC3D53" w:rsidRPr="00D628A3" w:rsidRDefault="00CC3D53" w:rsidP="00CC3D53">
      <w:pPr>
        <w:pStyle w:val="NormalWeb"/>
        <w:jc w:val="both"/>
        <w:rPr>
          <w:rFonts w:asciiTheme="minorHAnsi" w:hAnsiTheme="minorHAnsi" w:cstheme="minorBidi"/>
          <w:sz w:val="22"/>
          <w:szCs w:val="22"/>
          <w:lang w:val="en-US" w:eastAsia="en-US"/>
        </w:rPr>
      </w:pPr>
      <w:r w:rsidRPr="00CC3D53">
        <w:rPr>
          <w:rFonts w:asciiTheme="minorHAnsi" w:hAnsiTheme="minorHAnsi" w:cstheme="minorHAnsi"/>
          <w:sz w:val="22"/>
          <w:szCs w:val="22"/>
        </w:rPr>
        <w:t xml:space="preserve">[5] </w:t>
      </w:r>
      <w:r w:rsidRPr="00CC3D53">
        <w:rPr>
          <w:rFonts w:asciiTheme="minorHAnsi" w:hAnsiTheme="minorHAnsi" w:cstheme="minorHAnsi"/>
          <w:sz w:val="22"/>
          <w:szCs w:val="22"/>
          <w:lang w:eastAsia="en-US"/>
        </w:rPr>
        <w:t>Boris</w:t>
      </w:r>
      <w:r w:rsidRPr="00CC3D53">
        <w:rPr>
          <w:rFonts w:asciiTheme="minorHAnsi" w:hAnsiTheme="minorHAnsi" w:cstheme="minorBidi"/>
          <w:sz w:val="22"/>
          <w:szCs w:val="22"/>
          <w:lang w:eastAsia="en-US"/>
        </w:rPr>
        <w:t xml:space="preserve"> Alexandre, Em</w:t>
      </w:r>
      <w:r>
        <w:rPr>
          <w:rFonts w:asciiTheme="minorHAnsi" w:hAnsiTheme="minorHAnsi" w:cstheme="minorBidi"/>
          <w:sz w:val="22"/>
          <w:szCs w:val="22"/>
          <w:lang w:eastAsia="en-US"/>
        </w:rPr>
        <w:t>m</w:t>
      </w:r>
      <w:r w:rsidRPr="00CC3D53">
        <w:rPr>
          <w:rFonts w:asciiTheme="minorHAnsi" w:hAnsiTheme="minorHAnsi" w:cstheme="minorBidi"/>
          <w:sz w:val="22"/>
          <w:szCs w:val="22"/>
          <w:lang w:eastAsia="en-US"/>
        </w:rPr>
        <w:t xml:space="preserve">anuelle Reynaud, François Osiurak, Jordan Navarro. </w:t>
      </w:r>
      <w:r w:rsidRPr="00CC3D53">
        <w:rPr>
          <w:rFonts w:asciiTheme="minorHAnsi" w:hAnsiTheme="minorHAnsi" w:cstheme="minorBidi"/>
          <w:sz w:val="22"/>
          <w:szCs w:val="22"/>
          <w:lang w:val="en-US" w:eastAsia="en-US"/>
        </w:rPr>
        <w:t>Acceptance and acceptability criteria: a literature review. Cognition, Technology &amp; Work, 2018, 20 (2), pp.165-177. https://doi.org/10.1007/s10111-018-0459-1</w:t>
      </w:r>
    </w:p>
    <w:p w14:paraId="0D32809F" w14:textId="5E53727A" w:rsidR="00CC3D53" w:rsidRPr="00CC3D53" w:rsidRDefault="00CC3D53" w:rsidP="00EC7475">
      <w:pPr>
        <w:rPr>
          <w:lang w:val="en-US"/>
        </w:rPr>
      </w:pPr>
    </w:p>
    <w:p w14:paraId="1FF14470" w14:textId="77777777" w:rsidR="00EC7475" w:rsidRPr="00CC3D53" w:rsidRDefault="00EC7475" w:rsidP="00EC7475">
      <w:pPr>
        <w:rPr>
          <w:lang w:val="en-US"/>
        </w:rPr>
      </w:pPr>
    </w:p>
    <w:p w14:paraId="45107E03" w14:textId="77777777" w:rsidR="00EC7475" w:rsidRPr="00CC3D53" w:rsidRDefault="00EC7475" w:rsidP="00A53FFF">
      <w:pPr>
        <w:autoSpaceDE w:val="0"/>
        <w:autoSpaceDN w:val="0"/>
        <w:adjustRightInd w:val="0"/>
        <w:spacing w:after="0" w:line="240" w:lineRule="auto"/>
        <w:jc w:val="both"/>
        <w:rPr>
          <w:rFonts w:ascii="Arial" w:hAnsi="Arial" w:cs="Arial"/>
          <w:bCs/>
          <w:sz w:val="20"/>
          <w:szCs w:val="24"/>
          <w:lang w:val="en-US"/>
        </w:rPr>
      </w:pPr>
    </w:p>
    <w:sectPr w:rsidR="00EC7475" w:rsidRPr="00CC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Co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0ABF"/>
    <w:multiLevelType w:val="hybridMultilevel"/>
    <w:tmpl w:val="0778DDF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064726"/>
    <w:multiLevelType w:val="hybridMultilevel"/>
    <w:tmpl w:val="85F0BF4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5E0046"/>
    <w:multiLevelType w:val="hybridMultilevel"/>
    <w:tmpl w:val="3FA65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A4087F"/>
    <w:multiLevelType w:val="hybridMultilevel"/>
    <w:tmpl w:val="5EF66FDE"/>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3A20F6B"/>
    <w:multiLevelType w:val="hybridMultilevel"/>
    <w:tmpl w:val="EDF56A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85"/>
    <w:rsid w:val="00084457"/>
    <w:rsid w:val="0020782F"/>
    <w:rsid w:val="00243863"/>
    <w:rsid w:val="00246A22"/>
    <w:rsid w:val="0031597A"/>
    <w:rsid w:val="003942AA"/>
    <w:rsid w:val="00402FDE"/>
    <w:rsid w:val="004F1817"/>
    <w:rsid w:val="00515048"/>
    <w:rsid w:val="00551948"/>
    <w:rsid w:val="005E48BE"/>
    <w:rsid w:val="007332E0"/>
    <w:rsid w:val="007E1126"/>
    <w:rsid w:val="00825CC9"/>
    <w:rsid w:val="00861F2C"/>
    <w:rsid w:val="0094018C"/>
    <w:rsid w:val="00A06B66"/>
    <w:rsid w:val="00A53FFF"/>
    <w:rsid w:val="00B901C5"/>
    <w:rsid w:val="00BA3585"/>
    <w:rsid w:val="00CC3D53"/>
    <w:rsid w:val="00CD61EC"/>
    <w:rsid w:val="00CE4C21"/>
    <w:rsid w:val="00D628A3"/>
    <w:rsid w:val="00DA6931"/>
    <w:rsid w:val="00EC7475"/>
    <w:rsid w:val="00F032D9"/>
    <w:rsid w:val="00F33F80"/>
    <w:rsid w:val="00F475CB"/>
    <w:rsid w:val="00F86E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2E6B"/>
  <w15:docId w15:val="{4B173B5F-5B02-4FEB-8408-5E75E94C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0782F"/>
    <w:pPr>
      <w:spacing w:before="300" w:after="40" w:line="276" w:lineRule="auto"/>
      <w:outlineLvl w:val="0"/>
    </w:pPr>
    <w:rPr>
      <w:rFonts w:ascii="Calibri" w:eastAsia="Times New Roman" w:hAnsi="Calibri" w:cs="Times New Roman"/>
      <w:smallCaps/>
      <w:color w:val="70AD47"/>
      <w:spacing w:val="5"/>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FFF"/>
    <w:pPr>
      <w:spacing w:after="200" w:line="276" w:lineRule="auto"/>
      <w:ind w:left="720"/>
      <w:contextualSpacing/>
    </w:pPr>
  </w:style>
  <w:style w:type="character" w:styleId="Lienhypertexte">
    <w:name w:val="Hyperlink"/>
    <w:basedOn w:val="Policepardfaut"/>
    <w:uiPriority w:val="99"/>
    <w:unhideWhenUsed/>
    <w:rsid w:val="00F33F80"/>
    <w:rPr>
      <w:color w:val="0563C1" w:themeColor="hyperlink"/>
      <w:u w:val="single"/>
    </w:rPr>
  </w:style>
  <w:style w:type="paragraph" w:customStyle="1" w:styleId="Default">
    <w:name w:val="Default"/>
    <w:rsid w:val="00243863"/>
    <w:pPr>
      <w:autoSpaceDE w:val="0"/>
      <w:autoSpaceDN w:val="0"/>
      <w:adjustRightInd w:val="0"/>
      <w:spacing w:after="0" w:line="240" w:lineRule="auto"/>
    </w:pPr>
    <w:rPr>
      <w:rFonts w:ascii="Frutiger LT Com" w:hAnsi="Frutiger LT Com" w:cs="Frutiger LT Com"/>
      <w:color w:val="000000"/>
      <w:sz w:val="24"/>
      <w:szCs w:val="24"/>
    </w:rPr>
  </w:style>
  <w:style w:type="paragraph" w:styleId="Textedebulles">
    <w:name w:val="Balloon Text"/>
    <w:basedOn w:val="Normal"/>
    <w:link w:val="TextedebullesCar"/>
    <w:uiPriority w:val="99"/>
    <w:semiHidden/>
    <w:unhideWhenUsed/>
    <w:rsid w:val="00F032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32D9"/>
    <w:rPr>
      <w:rFonts w:ascii="Segoe UI" w:hAnsi="Segoe UI" w:cs="Segoe UI"/>
      <w:sz w:val="18"/>
      <w:szCs w:val="18"/>
    </w:rPr>
  </w:style>
  <w:style w:type="character" w:styleId="Mentionnonrsolue">
    <w:name w:val="Unresolved Mention"/>
    <w:basedOn w:val="Policepardfaut"/>
    <w:uiPriority w:val="99"/>
    <w:semiHidden/>
    <w:unhideWhenUsed/>
    <w:rsid w:val="0020782F"/>
    <w:rPr>
      <w:color w:val="605E5C"/>
      <w:shd w:val="clear" w:color="auto" w:fill="E1DFDD"/>
    </w:rPr>
  </w:style>
  <w:style w:type="character" w:customStyle="1" w:styleId="Titre1Car">
    <w:name w:val="Titre 1 Car"/>
    <w:basedOn w:val="Policepardfaut"/>
    <w:link w:val="Titre1"/>
    <w:uiPriority w:val="9"/>
    <w:rsid w:val="0020782F"/>
    <w:rPr>
      <w:rFonts w:ascii="Calibri" w:eastAsia="Times New Roman" w:hAnsi="Calibri" w:cs="Times New Roman"/>
      <w:smallCaps/>
      <w:color w:val="70AD47"/>
      <w:spacing w:val="5"/>
      <w:sz w:val="32"/>
      <w:szCs w:val="32"/>
      <w:lang w:eastAsia="fr-FR"/>
    </w:rPr>
  </w:style>
  <w:style w:type="paragraph" w:styleId="Sansinterligne">
    <w:name w:val="No Spacing"/>
    <w:uiPriority w:val="1"/>
    <w:qFormat/>
    <w:rsid w:val="0020782F"/>
    <w:pPr>
      <w:spacing w:after="0" w:line="240" w:lineRule="auto"/>
      <w:jc w:val="both"/>
    </w:pPr>
    <w:rPr>
      <w:rFonts w:ascii="Calibri" w:eastAsia="Times New Roman" w:hAnsi="Calibri" w:cs="Times New Roman"/>
      <w:sz w:val="20"/>
      <w:szCs w:val="20"/>
      <w:lang w:eastAsia="fr-FR"/>
    </w:rPr>
  </w:style>
  <w:style w:type="paragraph" w:styleId="NormalWeb">
    <w:name w:val="Normal (Web)"/>
    <w:basedOn w:val="Normal"/>
    <w:uiPriority w:val="99"/>
    <w:unhideWhenUsed/>
    <w:rsid w:val="00EC7475"/>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6536">
      <w:bodyDiv w:val="1"/>
      <w:marLeft w:val="0"/>
      <w:marRight w:val="0"/>
      <w:marTop w:val="0"/>
      <w:marBottom w:val="0"/>
      <w:divBdr>
        <w:top w:val="none" w:sz="0" w:space="0" w:color="auto"/>
        <w:left w:val="none" w:sz="0" w:space="0" w:color="auto"/>
        <w:bottom w:val="none" w:sz="0" w:space="0" w:color="auto"/>
        <w:right w:val="none" w:sz="0" w:space="0" w:color="auto"/>
      </w:divBdr>
    </w:div>
    <w:div w:id="236475909">
      <w:bodyDiv w:val="1"/>
      <w:marLeft w:val="0"/>
      <w:marRight w:val="0"/>
      <w:marTop w:val="0"/>
      <w:marBottom w:val="0"/>
      <w:divBdr>
        <w:top w:val="none" w:sz="0" w:space="0" w:color="auto"/>
        <w:left w:val="none" w:sz="0" w:space="0" w:color="auto"/>
        <w:bottom w:val="none" w:sz="0" w:space="0" w:color="auto"/>
        <w:right w:val="none" w:sz="0" w:space="0" w:color="auto"/>
      </w:divBdr>
    </w:div>
    <w:div w:id="1072969298">
      <w:bodyDiv w:val="1"/>
      <w:marLeft w:val="0"/>
      <w:marRight w:val="0"/>
      <w:marTop w:val="0"/>
      <w:marBottom w:val="0"/>
      <w:divBdr>
        <w:top w:val="none" w:sz="0" w:space="0" w:color="auto"/>
        <w:left w:val="none" w:sz="0" w:space="0" w:color="auto"/>
        <w:bottom w:val="none" w:sz="0" w:space="0" w:color="auto"/>
        <w:right w:val="none" w:sz="0" w:space="0" w:color="auto"/>
      </w:divBdr>
    </w:div>
    <w:div w:id="11324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hiftproject.org/wp-content/uploads/2024/11/RF-Agri-Synthese-DEF.pdf" TargetMode="External"/><Relationship Id="rId3" Type="http://schemas.openxmlformats.org/officeDocument/2006/relationships/settings" Target="settings.xml"/><Relationship Id="rId7" Type="http://schemas.openxmlformats.org/officeDocument/2006/relationships/hyperlink" Target="https://theshift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reyboz@cea.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rairie.ademe.fr/economie-circulaire-et-dechets/7785-it4green-evaluation-environnementale-des-effets-directs-et-indirects-du-numerique-pour-des-cas-d-usag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845</Words>
  <Characters>4652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REYBOZ Marina 206485</dc:creator>
  <cp:keywords/>
  <dc:description/>
  <cp:lastModifiedBy>REYBOZ Marina 206485</cp:lastModifiedBy>
  <cp:revision>3</cp:revision>
  <dcterms:created xsi:type="dcterms:W3CDTF">2025-07-01T15:59:00Z</dcterms:created>
  <dcterms:modified xsi:type="dcterms:W3CDTF">2025-07-08T12:17:00Z</dcterms:modified>
</cp:coreProperties>
</file>